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江苏省淋巴瘤中西医协作学术研讨会暨中西医协作慢病管理研讨会</w:t>
      </w: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bookmarkStart w:id="1" w:name="_GoBack"/>
      <w:bookmarkEnd w:id="1"/>
    </w:p>
    <w:p>
      <w:pPr>
        <w:spacing w:line="360" w:lineRule="auto"/>
        <w:ind w:firstLine="560" w:firstLineChars="200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113969147"/>
      <w:r>
        <w:rPr>
          <w:rFonts w:hint="eastAsia" w:ascii="宋体" w:hAnsi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会议时间：202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22日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会议形式：线下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+线上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会议地址：南京金鹰尚美酒店（南京市江宁区双龙大道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1688号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参会人员：血液病相关中西医医技人员约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100人</w:t>
      </w:r>
    </w:p>
    <w:bookmarkEnd w:id="0"/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五、</w:t>
      </w:r>
      <w:r>
        <w:rPr>
          <w:rFonts w:hint="eastAsia" w:ascii="宋体" w:hAnsi="宋体"/>
          <w:sz w:val="28"/>
          <w:szCs w:val="28"/>
        </w:rPr>
        <w:t>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人：刘老师 18600084324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六、会议日程：</w:t>
      </w:r>
    </w:p>
    <w:tbl>
      <w:tblPr>
        <w:tblStyle w:val="2"/>
        <w:tblW w:w="92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365"/>
        <w:gridCol w:w="2835"/>
        <w:gridCol w:w="1560"/>
        <w:gridCol w:w="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1" w:type="dxa"/>
          <w:trHeight w:val="310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讲者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1" w:type="dxa"/>
          <w:trHeight w:val="312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8:30-8:40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开场致辞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李建勇 教授（线上）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江苏省人民医院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倪海雯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8:40-9:10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浆细胞肾病治疗管理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屈晓燕 教授（线上）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江苏省人民医院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魏学礼 教授 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9:10-9:20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讨论环节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贾  韬、陈  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9:20-9:50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髓外浆细胞瘤治疗策略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邵晓雁 教授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南京大学附属鼓楼医院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朱  翔 教授   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9:50-:10:00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讨论环节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孔祥图、张玉荣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10:00-10:10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茶歇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10:10-10:40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CAR-T细胞治疗骨髓瘤并发症管理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李振宇 教授（线上）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徐州医科大学附属医院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周小钢 教授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10:40-10:50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讨论环节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高  玲、林国强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10:50-11:20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基于癌毒病机理论中医药防治肿瘤思路探讨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  柳 教授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吴  冰 教授  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11:20-11:30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讨论环节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单慧蓉、陈晓丽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11:30-11:40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会议总结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倪海雯  教授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自助午餐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14:00-14:10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开场致词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李建勇 教授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程海波 教授（线上）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倪海雯 教授  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14:10-14:30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江苏省淋巴瘤中西医协作组成立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全体协作组成员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倪海雯 教授朱华渊 教授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人工智能在淋巴瘤临床研究中的应用及淋巴瘤舌诊资料初步分析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周作建 教授（线上）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南京中医药大学人工智能信息学院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施文瑜 教授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15:00-15:10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讨论环节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朗许锋、冷加燕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15:10-15:40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淋巴瘤真实世界慢病管理策略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朱华渊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教授江苏省人民医院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张孝平 教授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15:40-15:50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讨论环节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张晓慧、孙  淼、师锦宁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15:50-16:00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茶歇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16:00-16:30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外周T细胞淋巴瘤代谢重塑特征及治疗策略探索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金  晖 教授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江苏省人民医院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王春玲 教授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16:30-16:40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讨论环节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卢绪章、谢晓艳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16:40-17:10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癌毒病机体系构建中的关键分子机制探讨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余成涛 教授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华海应 教授（线上）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17:10-17:20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讨论环节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薛燕、苗雨青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17:20-17:50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肿瘤类新药临床试验方案设计的关键环节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邹  冲 教授 （线上）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顾伟英 教授（线上）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17:50-18:00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讨论环节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张秋蓉、于  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18:00-18:10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李建勇教授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程海波教授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注：实际日程以当日发生为准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七、</w:t>
      </w:r>
      <w:r>
        <w:rPr>
          <w:rFonts w:hint="eastAsia" w:asciiTheme="minorEastAsia" w:hAnsiTheme="minorEastAsia" w:eastAsiaTheme="minorEastAsia"/>
          <w:sz w:val="28"/>
          <w:szCs w:val="28"/>
          <w:lang w:eastAsia="zh-Hans"/>
        </w:rPr>
        <w:t>支持明细：</w:t>
      </w:r>
    </w:p>
    <w:tbl>
      <w:tblPr>
        <w:tblStyle w:val="2"/>
        <w:tblW w:w="92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1"/>
        <w:gridCol w:w="4848"/>
        <w:gridCol w:w="851"/>
        <w:gridCol w:w="15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项目内容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描述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单位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学术专题会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学术专题报告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/个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  <w:t>¥50000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学术视频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会前5分钟播放学术宣传视频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/个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签到背景板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大会签到背景板添加支持单位LOGO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/个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学术宣传展台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支持单位学术宣传展台，1m*2m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/个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  <w:t>¥20000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展架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bidi="ar"/>
              </w:rPr>
              <w:t>会场外摆放支持单位展架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/个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  <w:t>¥10000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日程展架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会议日程展架添加支持单位LOGO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/个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  <w:t>¥30000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日程彩页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会议日程彩页添加支持单位LOGO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/场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串场幻灯</w:t>
            </w:r>
          </w:p>
        </w:tc>
        <w:tc>
          <w:tcPr>
            <w:tcW w:w="4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bidi="ar"/>
              </w:rPr>
              <w:t>串场幻灯添加支持单位LOGO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/个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  <w:lang w:bidi="ar"/>
              </w:rPr>
              <w:t>¥30000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八、</w:t>
      </w:r>
      <w:r>
        <w:rPr>
          <w:rFonts w:hint="eastAsia" w:ascii="宋体" w:hAnsi="宋体"/>
          <w:color w:val="auto"/>
          <w:sz w:val="28"/>
          <w:szCs w:val="28"/>
        </w:rPr>
        <w:t>付款方式：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开户行：中国农业银行股份有限公司北京航天桥支行</w:t>
      </w:r>
    </w:p>
    <w:p>
      <w:pPr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账  号：</w:t>
      </w:r>
      <w:r>
        <w:rPr>
          <w:rFonts w:ascii="宋体" w:hAnsi="宋体"/>
          <w:color w:val="auto"/>
          <w:sz w:val="28"/>
          <w:szCs w:val="28"/>
        </w:rPr>
        <w:t>11211201040006115</w:t>
      </w:r>
    </w:p>
    <w:p>
      <w:pPr>
        <w:spacing w:line="360" w:lineRule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备 </w:t>
      </w:r>
      <w:r>
        <w:rPr>
          <w:rFonts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注：“</w:t>
      </w:r>
      <w:r>
        <w:rPr>
          <w:rFonts w:hint="eastAsia" w:ascii="宋体" w:hAnsi="宋体"/>
          <w:bCs/>
          <w:color w:val="auto"/>
          <w:sz w:val="28"/>
          <w:szCs w:val="28"/>
        </w:rPr>
        <w:t>江苏省淋巴瘤中西医协作学术研讨会暨中西医协作慢病管理研讨会</w:t>
      </w:r>
      <w:r>
        <w:rPr>
          <w:rFonts w:hint="eastAsia" w:ascii="宋体" w:hAnsi="宋体"/>
          <w:color w:val="auto"/>
          <w:sz w:val="28"/>
          <w:szCs w:val="28"/>
        </w:rPr>
        <w:t>”</w:t>
      </w:r>
    </w:p>
    <w:p>
      <w:pPr>
        <w:spacing w:line="360" w:lineRule="auto"/>
        <w:rPr>
          <w:rFonts w:hint="eastAsia" w:ascii="宋体" w:hAnsi="宋体"/>
          <w:color w:val="auto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北京中西医慢病防治促进会</w:t>
      </w:r>
    </w:p>
    <w:p>
      <w:pPr>
        <w:wordWrap w:val="0"/>
        <w:spacing w:line="360" w:lineRule="auto"/>
        <w:jc w:val="righ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</w:t>
      </w:r>
      <w:r>
        <w:rPr>
          <w:rFonts w:ascii="宋体" w:hAnsi="宋体"/>
          <w:color w:val="auto"/>
          <w:sz w:val="28"/>
          <w:szCs w:val="28"/>
        </w:rPr>
        <w:t>02</w:t>
      </w:r>
      <w:r>
        <w:rPr>
          <w:rFonts w:hint="eastAsia" w:ascii="宋体" w:hAnsi="宋体"/>
          <w:color w:val="auto"/>
          <w:sz w:val="28"/>
          <w:szCs w:val="28"/>
        </w:rPr>
        <w:t>4年6月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7B1F6812"/>
    <w:rsid w:val="7B1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2024-06-07T08:25:00Z</dcterms:created>
  <dc:creator>Administrator</dc:creator>
  <cp:lastModifiedBy>Administrator</cp:lastModifiedBy>
  <dcterms:modified xsi:type="dcterms:W3CDTF">2024-06-07T08:26:48Z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166A584EC3C446A4863BF05548336ABC_11</vt:lpwstr>
  </property>
</Properties>
</file>